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  <w:jc w:val="center"/>
        <w:rPr>
          <w:color w:val="000000"/>
        </w:rPr>
      </w:pPr>
      <w:r>
        <w:rPr>
          <w:color w:val="000000"/>
        </w:rPr>
        <w:t>Защита трудовых прав несовершеннолетних.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  <w:jc w:val="center"/>
        <w:rPr>
          <w:color w:val="000000"/>
        </w:rPr>
      </w:pP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Статья 20 ТК РФ предусматривает, что несовершеннолетние в возрасте от четырнадцати до восемнадцати 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В случаях, предусмотренных частями восьмой - десятой настоящей статьи, законные представители (родители, опекуны, попечители) физических лиц, выступающих в качестве работодателей, несут дополнительную ответственность по обязательствам, вытекающим из трудовых отношений, включая обязательства по выплате заработной платы.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В силу ст. 63 ТК РФ 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520"/>
      </w:pPr>
      <w:r>
        <w:rPr>
          <w:color w:val="000000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A86069" w:rsidRDefault="00A86069" w:rsidP="00A86069">
      <w:pPr>
        <w:pStyle w:val="2"/>
        <w:shd w:val="clear" w:color="auto" w:fill="auto"/>
        <w:spacing w:after="0" w:line="317" w:lineRule="exact"/>
        <w:ind w:left="20" w:right="40" w:firstLine="740"/>
      </w:pPr>
      <w:r>
        <w:rPr>
          <w:color w:val="000000"/>
        </w:rPr>
        <w:t>Статья 124 ТК РФ регламентирует запрет не предоставления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 xml:space="preserve">В соответствии со ст. 265 ТК РФ запрещается применение труда лиц в возрасте </w:t>
      </w:r>
      <w:r>
        <w:rPr>
          <w:color w:val="000000"/>
        </w:rPr>
        <w:lastRenderedPageBreak/>
        <w:t>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680"/>
      </w:pPr>
      <w:r>
        <w:rPr>
          <w:color w:val="000000"/>
        </w:rPr>
        <w:t>Из норм ст. 266 ТК РФ следует, что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>Предусмотренные настоящей статьей обязательные медицинские осмотры осуществляются за счет средств работодателя.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 xml:space="preserve">Ежегодный основной оплачиваемый отпуск работникам в возрасте до восемнадцати лет предоставляется продолжительностью 31 календарный </w:t>
      </w:r>
      <w:r w:rsidR="00786504">
        <w:rPr>
          <w:color w:val="000000"/>
        </w:rPr>
        <w:t>день в удобное для них время (</w:t>
      </w:r>
      <w:r>
        <w:rPr>
          <w:color w:val="000000"/>
        </w:rPr>
        <w:t>ст. 267 ТК РФ)</w:t>
      </w:r>
      <w:r w:rsidR="00786504">
        <w:rPr>
          <w:color w:val="000000"/>
        </w:rPr>
        <w:t>.</w:t>
      </w:r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</w:t>
      </w:r>
      <w:r w:rsidR="00786504">
        <w:rPr>
          <w:color w:val="000000"/>
        </w:rPr>
        <w:t>оциально-трудовых отношений) (ст. 268 ТК РФ</w:t>
      </w:r>
      <w:r>
        <w:rPr>
          <w:color w:val="000000"/>
        </w:rPr>
        <w:t>)</w:t>
      </w:r>
      <w:r w:rsidR="00786504">
        <w:rPr>
          <w:color w:val="000000"/>
        </w:rPr>
        <w:t>.</w:t>
      </w:r>
      <w:bookmarkStart w:id="0" w:name="_GoBack"/>
      <w:bookmarkEnd w:id="0"/>
    </w:p>
    <w:p w:rsidR="00A86069" w:rsidRDefault="00A86069" w:rsidP="00A86069">
      <w:pPr>
        <w:pStyle w:val="2"/>
        <w:shd w:val="clear" w:color="auto" w:fill="auto"/>
        <w:spacing w:after="0" w:line="322" w:lineRule="exact"/>
        <w:ind w:left="40" w:right="40" w:firstLine="520"/>
      </w:pPr>
      <w:r>
        <w:rPr>
          <w:color w:val="000000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414FF" w:rsidRDefault="005414FF"/>
    <w:sectPr w:rsidR="005414FF" w:rsidSect="00A86069">
      <w:pgSz w:w="11909" w:h="16838" w:code="9"/>
      <w:pgMar w:top="1134" w:right="567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F4"/>
    <w:rsid w:val="001424F4"/>
    <w:rsid w:val="005414FF"/>
    <w:rsid w:val="00786504"/>
    <w:rsid w:val="00A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9D6E"/>
  <w15:chartTrackingRefBased/>
  <w15:docId w15:val="{8159EE71-63A9-45A4-ACEE-BFD3956C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860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8606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3</cp:revision>
  <dcterms:created xsi:type="dcterms:W3CDTF">2020-04-20T12:14:00Z</dcterms:created>
  <dcterms:modified xsi:type="dcterms:W3CDTF">2020-04-20T12:15:00Z</dcterms:modified>
</cp:coreProperties>
</file>